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4413" w14:textId="26DDF8F0" w:rsidR="00252759" w:rsidRPr="00CB0E30" w:rsidRDefault="00287ED2" w:rsidP="00252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v-LV"/>
        </w:rPr>
      </w:pPr>
      <w:r w:rsidRPr="00CB0E30">
        <w:rPr>
          <w:rFonts w:ascii="Times New Roman" w:eastAsia="Calibri" w:hAnsi="Times New Roman" w:cs="Times New Roman"/>
          <w:b/>
          <w:bCs/>
          <w:lang w:val="lv-LV"/>
        </w:rPr>
        <w:t>Eiropas Savienības Erasmus+</w:t>
      </w:r>
      <w:r w:rsidR="0093597A" w:rsidRPr="00CB0E30">
        <w:rPr>
          <w:rFonts w:ascii="Times New Roman" w:eastAsia="Calibri" w:hAnsi="Times New Roman" w:cs="Times New Roman"/>
          <w:b/>
          <w:bCs/>
          <w:lang w:val="lv-LV"/>
        </w:rPr>
        <w:t xml:space="preserve"> programmas</w:t>
      </w:r>
      <w:r w:rsidRPr="00CB0E30">
        <w:rPr>
          <w:rFonts w:ascii="Times New Roman" w:eastAsia="Calibri" w:hAnsi="Times New Roman" w:cs="Times New Roman"/>
          <w:b/>
          <w:bCs/>
          <w:lang w:val="lv-LV"/>
        </w:rPr>
        <w:t xml:space="preserve"> Sadarbības un mācību aktivitātes (TCA) </w:t>
      </w:r>
      <w:r w:rsidR="00C653D1" w:rsidRPr="00CB0E30">
        <w:rPr>
          <w:rFonts w:ascii="Times New Roman" w:eastAsia="Calibri" w:hAnsi="Times New Roman" w:cs="Times New Roman"/>
          <w:b/>
          <w:bCs/>
          <w:lang w:val="lv-LV"/>
        </w:rPr>
        <w:t>pasākuma dalības pretendenta</w:t>
      </w:r>
      <w:r w:rsidR="00473D3E" w:rsidRPr="00CB0E30">
        <w:rPr>
          <w:rFonts w:ascii="Times New Roman" w:eastAsia="Calibri" w:hAnsi="Times New Roman" w:cs="Times New Roman"/>
          <w:b/>
          <w:bCs/>
          <w:lang w:val="lv-LV"/>
        </w:rPr>
        <w:t xml:space="preserve"> (turpmāk - Pretendents)</w:t>
      </w:r>
      <w:r w:rsidR="00C653D1" w:rsidRPr="00CB0E30">
        <w:rPr>
          <w:rFonts w:ascii="Times New Roman" w:eastAsia="Calibri" w:hAnsi="Times New Roman" w:cs="Times New Roman"/>
          <w:b/>
          <w:bCs/>
          <w:lang w:val="lv-LV"/>
        </w:rPr>
        <w:t xml:space="preserve"> pieteikuma </w:t>
      </w:r>
      <w:r w:rsidRPr="00CB0E30">
        <w:rPr>
          <w:rFonts w:ascii="Times New Roman" w:eastAsia="Calibri" w:hAnsi="Times New Roman" w:cs="Times New Roman"/>
          <w:b/>
          <w:bCs/>
          <w:lang w:val="lv-LV"/>
        </w:rPr>
        <w:t>vērtēšanas kritēriji</w:t>
      </w:r>
    </w:p>
    <w:p w14:paraId="2DFF0127" w14:textId="77777777" w:rsidR="00D14800" w:rsidRPr="00CB0E30" w:rsidRDefault="00D14800" w:rsidP="00252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val="lv-LV"/>
        </w:rPr>
      </w:pPr>
    </w:p>
    <w:p w14:paraId="0763B6CA" w14:textId="77777777" w:rsidR="003F3E31" w:rsidRPr="00CB0E30" w:rsidRDefault="003F3E31" w:rsidP="002527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1"/>
        <w:gridCol w:w="6923"/>
        <w:gridCol w:w="1795"/>
      </w:tblGrid>
      <w:tr w:rsidR="003F3E31" w:rsidRPr="00CB0E30" w14:paraId="73F3076F" w14:textId="6A9412FD" w:rsidTr="00443E80">
        <w:trPr>
          <w:trHeight w:val="520"/>
        </w:trPr>
        <w:tc>
          <w:tcPr>
            <w:tcW w:w="711" w:type="dxa"/>
            <w:shd w:val="clear" w:color="auto" w:fill="D9D9D9" w:themeFill="background1" w:themeFillShade="D9"/>
          </w:tcPr>
          <w:p w14:paraId="28A2CEED" w14:textId="2FBB21C7" w:rsidR="003F3E31" w:rsidRPr="00CB0E30" w:rsidRDefault="003F3E31" w:rsidP="00AA40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Nr. p.k.</w:t>
            </w:r>
          </w:p>
        </w:tc>
        <w:tc>
          <w:tcPr>
            <w:tcW w:w="6923" w:type="dxa"/>
            <w:shd w:val="clear" w:color="auto" w:fill="D9D9D9" w:themeFill="background1" w:themeFillShade="D9"/>
          </w:tcPr>
          <w:p w14:paraId="08E9136C" w14:textId="170A5412" w:rsidR="003F3E31" w:rsidRPr="00CB0E30" w:rsidRDefault="00810D38" w:rsidP="00AA40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Vērtēšanas k</w:t>
            </w:r>
            <w:r w:rsidR="003F3E31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ritērijs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4DA95BE9" w14:textId="48F7A29E" w:rsidR="003F3E31" w:rsidRPr="00CB0E30" w:rsidRDefault="003F3E31" w:rsidP="00AA40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Vērtējums</w:t>
            </w:r>
          </w:p>
        </w:tc>
      </w:tr>
      <w:tr w:rsidR="00146956" w:rsidRPr="00CB0E30" w14:paraId="55964C90" w14:textId="77777777" w:rsidTr="00443E80">
        <w:tc>
          <w:tcPr>
            <w:tcW w:w="711" w:type="dxa"/>
          </w:tcPr>
          <w:p w14:paraId="1146B035" w14:textId="112352FB" w:rsidR="00146956" w:rsidRPr="00CB0E30" w:rsidRDefault="00C653D1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1.</w:t>
            </w:r>
          </w:p>
        </w:tc>
        <w:tc>
          <w:tcPr>
            <w:tcW w:w="6923" w:type="dxa"/>
          </w:tcPr>
          <w:p w14:paraId="47BDCA58" w14:textId="77777777" w:rsidR="00146956" w:rsidRPr="00CB0E30" w:rsidRDefault="00443E80" w:rsidP="00146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Pieteikuma </w:t>
            </w:r>
            <w:r w:rsidR="00146956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ADMINISTRATĪVĀ ATBILSTĪBA</w:t>
            </w:r>
          </w:p>
          <w:p w14:paraId="5FE29D0C" w14:textId="08E61B4D" w:rsidR="00213B18" w:rsidRPr="00CB0E30" w:rsidRDefault="00213B18" w:rsidP="00146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(</w:t>
            </w:r>
            <w:r w:rsidR="00527086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tehniska precizēšana (</w:t>
            </w:r>
            <w:r w:rsidR="0086000B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ir iesniegts pam</w:t>
            </w:r>
            <w:r w:rsidR="005F3A87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a</w:t>
            </w:r>
            <w:r w:rsidR="0086000B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tojums dalībai TCA pasākumā SALTO platformā, nav iesniegts “Pieteikums dalībai TCA pasākumā”, </w:t>
            </w: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 iztrūkstošu elektronisko parakstu</w:t>
            </w:r>
            <w:r w:rsidR="0086000B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 (</w:t>
            </w:r>
            <w:r w:rsidR="005B0CAB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P</w:t>
            </w:r>
            <w:r w:rsidR="0086000B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retendents vai organizācija)</w:t>
            </w: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 iesniegšana</w:t>
            </w:r>
            <w:r w:rsidR="005F3A87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, iztrūkstošas tehniskas informācijas papildināšana</w:t>
            </w:r>
            <w:r w:rsidR="00527086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)</w:t>
            </w: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 var notikt līdz pieteikuma iesniegšanas termiņa beigām)</w:t>
            </w:r>
          </w:p>
        </w:tc>
        <w:tc>
          <w:tcPr>
            <w:tcW w:w="1795" w:type="dxa"/>
          </w:tcPr>
          <w:p w14:paraId="13AFAD41" w14:textId="60C00F8E" w:rsidR="00146956" w:rsidRPr="00CB0E30" w:rsidRDefault="00291AF5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(</w:t>
            </w:r>
            <w:r w:rsidR="00C653D1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Jā/Nē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)</w:t>
            </w:r>
          </w:p>
        </w:tc>
      </w:tr>
      <w:tr w:rsidR="00CB0E30" w:rsidRPr="00CB0E30" w14:paraId="256F9F6D" w14:textId="23D0F6D3" w:rsidTr="00443E80">
        <w:tc>
          <w:tcPr>
            <w:tcW w:w="711" w:type="dxa"/>
          </w:tcPr>
          <w:p w14:paraId="4D71268F" w14:textId="64D9E34F" w:rsidR="00CB0E30" w:rsidRPr="00CB0E30" w:rsidRDefault="00CB0E30" w:rsidP="00CB0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1.1.</w:t>
            </w:r>
          </w:p>
        </w:tc>
        <w:tc>
          <w:tcPr>
            <w:tcW w:w="6923" w:type="dxa"/>
          </w:tcPr>
          <w:p w14:paraId="4FC081DA" w14:textId="69B17390" w:rsidR="00CB0E30" w:rsidRPr="00CB0E30" w:rsidRDefault="00CB0E30" w:rsidP="00CB0E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color w:val="000000"/>
                <w:lang w:val="lv-LV"/>
              </w:rPr>
              <w:t>Pretendenta pieteikums iesniegts TCA pasākuma sludinājumā noteiktajā termiņā</w:t>
            </w:r>
          </w:p>
          <w:p w14:paraId="08E111E5" w14:textId="496D0343" w:rsidR="00CB0E30" w:rsidRPr="00CB0E30" w:rsidRDefault="00CB0E30" w:rsidP="00CB0E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1795" w:type="dxa"/>
          </w:tcPr>
          <w:p w14:paraId="2299C902" w14:textId="1DC650BA" w:rsidR="00CB0E30" w:rsidRPr="00CB0E30" w:rsidRDefault="00CB0E30" w:rsidP="00CB0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FD005A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Jā/Nē</w:t>
            </w:r>
          </w:p>
        </w:tc>
      </w:tr>
      <w:tr w:rsidR="00CB0E30" w:rsidRPr="00CB0E30" w14:paraId="18A06770" w14:textId="77777777" w:rsidTr="00443E80">
        <w:tc>
          <w:tcPr>
            <w:tcW w:w="711" w:type="dxa"/>
          </w:tcPr>
          <w:p w14:paraId="28647E48" w14:textId="523C7634" w:rsidR="00CB0E30" w:rsidRPr="00CB0E30" w:rsidRDefault="00CB0E30" w:rsidP="00CB0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1.2.</w:t>
            </w:r>
          </w:p>
        </w:tc>
        <w:tc>
          <w:tcPr>
            <w:tcW w:w="6923" w:type="dxa"/>
          </w:tcPr>
          <w:p w14:paraId="324D4E59" w14:textId="3AE326E2" w:rsidR="00CB0E30" w:rsidRPr="00CB0E30" w:rsidRDefault="00CB0E30" w:rsidP="00CB0E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color w:val="000000"/>
                <w:lang w:val="lv-LV"/>
              </w:rPr>
              <w:t>Pretendenta pieteikumā aizpildītas visas sadaļas (t.sk. Pretendenta un organizācijas amatpersonas droši elektroniskie paraksti</w:t>
            </w:r>
            <w:r w:rsidR="00EF21ED">
              <w:rPr>
                <w:rFonts w:ascii="Times New Roman" w:hAnsi="Times New Roman" w:cs="Times New Roman"/>
                <w:color w:val="000000"/>
                <w:lang w:val="lv-LV"/>
              </w:rPr>
              <w:t>/laika zīmogi</w:t>
            </w:r>
            <w:r w:rsidRPr="00CB0E30">
              <w:rPr>
                <w:rFonts w:ascii="Times New Roman" w:hAnsi="Times New Roman" w:cs="Times New Roman"/>
                <w:color w:val="000000"/>
                <w:lang w:val="lv-LV"/>
              </w:rPr>
              <w:t>)</w:t>
            </w:r>
          </w:p>
        </w:tc>
        <w:tc>
          <w:tcPr>
            <w:tcW w:w="1795" w:type="dxa"/>
          </w:tcPr>
          <w:p w14:paraId="5AC37D07" w14:textId="79402B12" w:rsidR="00CB0E30" w:rsidRPr="00CB0E30" w:rsidRDefault="00CB0E30" w:rsidP="00CB0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FD005A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Jā/Nē</w:t>
            </w:r>
          </w:p>
        </w:tc>
      </w:tr>
      <w:tr w:rsidR="00CB0E30" w:rsidRPr="00CB0E30" w14:paraId="0825E45F" w14:textId="12F27791" w:rsidTr="00443E80">
        <w:tc>
          <w:tcPr>
            <w:tcW w:w="711" w:type="dxa"/>
          </w:tcPr>
          <w:p w14:paraId="4643E1E1" w14:textId="53B2DEEF" w:rsidR="00CB0E30" w:rsidRPr="00CB0E30" w:rsidRDefault="00CB0E30" w:rsidP="00CB0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1.3.</w:t>
            </w:r>
          </w:p>
        </w:tc>
        <w:tc>
          <w:tcPr>
            <w:tcW w:w="6923" w:type="dxa"/>
          </w:tcPr>
          <w:p w14:paraId="353D40F1" w14:textId="7B1A2399" w:rsidR="00CB0E30" w:rsidRPr="00CB0E30" w:rsidRDefault="00CB0E30" w:rsidP="00CB0E3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color w:val="000000"/>
                <w:lang w:val="lv-LV"/>
              </w:rPr>
              <w:t>Pretendenta profils atbilst TCA pasākuma organizatora noteiktajai pasākuma mērķauditorijai</w:t>
            </w:r>
          </w:p>
        </w:tc>
        <w:tc>
          <w:tcPr>
            <w:tcW w:w="1795" w:type="dxa"/>
          </w:tcPr>
          <w:p w14:paraId="7AE1BAA5" w14:textId="6AC8EA98" w:rsidR="00CB0E30" w:rsidRPr="00CB0E30" w:rsidRDefault="00CB0E30" w:rsidP="00CB0E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FD005A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Jā/Nē</w:t>
            </w:r>
          </w:p>
        </w:tc>
      </w:tr>
      <w:tr w:rsidR="00146956" w:rsidRPr="00CB0E30" w14:paraId="5216BB33" w14:textId="77777777" w:rsidTr="00443E80">
        <w:tc>
          <w:tcPr>
            <w:tcW w:w="711" w:type="dxa"/>
          </w:tcPr>
          <w:p w14:paraId="46B6A51F" w14:textId="63FED2E3" w:rsidR="00146956" w:rsidRPr="00CB0E30" w:rsidRDefault="00A21626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1.4.</w:t>
            </w:r>
          </w:p>
        </w:tc>
        <w:tc>
          <w:tcPr>
            <w:tcW w:w="6923" w:type="dxa"/>
          </w:tcPr>
          <w:p w14:paraId="019C8F22" w14:textId="20564980" w:rsidR="009B6D49" w:rsidRPr="00CB0E30" w:rsidRDefault="009B6D49" w:rsidP="00443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color w:val="000000"/>
                <w:lang w:val="lv-LV"/>
              </w:rPr>
              <w:t xml:space="preserve">Pretendenta profils atbilst </w:t>
            </w:r>
            <w:r w:rsidR="00EA7F67" w:rsidRPr="00CB0E30">
              <w:rPr>
                <w:rFonts w:ascii="Times New Roman" w:hAnsi="Times New Roman" w:cs="Times New Roman"/>
                <w:color w:val="000000"/>
                <w:lang w:val="lv-LV"/>
              </w:rPr>
              <w:t xml:space="preserve">administratīvajiem </w:t>
            </w:r>
            <w:r w:rsidRPr="00CB0E30">
              <w:rPr>
                <w:rFonts w:ascii="Times New Roman" w:hAnsi="Times New Roman" w:cs="Times New Roman"/>
                <w:color w:val="000000"/>
                <w:lang w:val="lv-LV"/>
              </w:rPr>
              <w:t>dalības nosacījumiem</w:t>
            </w:r>
            <w:r w:rsidR="001C6018" w:rsidRPr="00CB0E30">
              <w:rPr>
                <w:rFonts w:ascii="Times New Roman" w:hAnsi="Times New Roman" w:cs="Times New Roman"/>
                <w:color w:val="000000"/>
                <w:lang w:val="lv-LV"/>
              </w:rPr>
              <w:t>:</w:t>
            </w:r>
          </w:p>
          <w:p w14:paraId="558D44A7" w14:textId="458DC47D" w:rsidR="00D174BB" w:rsidRPr="00CB0E30" w:rsidRDefault="00D174BB" w:rsidP="00AA5F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>No vienas organizācijas uz vienu un to pašu TCA pasākumu tiek atbalstīts ne vairāk kā viens organizācijas pārstāvis.</w:t>
            </w:r>
          </w:p>
          <w:p w14:paraId="66F486F3" w14:textId="38D12FAD" w:rsidR="001C6018" w:rsidRPr="00CB0E30" w:rsidRDefault="00D174BB" w:rsidP="00AA5F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>Viena gada konkursa ietvaros TCA pasākumā vienu personu var apstiprināt ne vairāk kā vienu reizi, savukārt vienu organizāciju – ne vairāk kā divas reizes, ievērojot to, ka tiek apmeklēti divi dažādi TCA pasākumi un tajos piedalās dažādi pārstāvji</w:t>
            </w:r>
            <w:r w:rsidR="000815F3" w:rsidRPr="00CB0E30"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>.</w:t>
            </w:r>
          </w:p>
          <w:p w14:paraId="67E95E57" w14:textId="022B10D8" w:rsidR="00443E80" w:rsidRPr="00CB0E30" w:rsidRDefault="00443E80" w:rsidP="00443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1795" w:type="dxa"/>
          </w:tcPr>
          <w:p w14:paraId="7ED525C4" w14:textId="15BA0146" w:rsidR="00146956" w:rsidRPr="00CB0E30" w:rsidRDefault="00EF21ED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FD005A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Jā/Nē</w:t>
            </w:r>
          </w:p>
        </w:tc>
      </w:tr>
      <w:tr w:rsidR="00E05325" w:rsidRPr="00CB0E30" w14:paraId="0591E42E" w14:textId="77777777" w:rsidTr="00E50963">
        <w:tc>
          <w:tcPr>
            <w:tcW w:w="7634" w:type="dxa"/>
            <w:gridSpan w:val="2"/>
          </w:tcPr>
          <w:p w14:paraId="294FDBBA" w14:textId="77777777" w:rsidR="00E05325" w:rsidRPr="00CB0E30" w:rsidRDefault="00305B90" w:rsidP="001B6B5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Pieteikuma a</w:t>
            </w:r>
            <w:r w:rsidR="00E05325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dministratīvās </w:t>
            </w:r>
            <w:r w:rsidR="000C38C4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atbilstības</w:t>
            </w:r>
            <w:r w:rsidR="00E05325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 rezultāts:</w:t>
            </w:r>
          </w:p>
          <w:p w14:paraId="708482F5" w14:textId="7D4E9CD0" w:rsidR="00A77C41" w:rsidRPr="00CB0E30" w:rsidRDefault="00A77C41" w:rsidP="00125C4E">
            <w:pPr>
              <w:autoSpaceDE w:val="0"/>
              <w:autoSpaceDN w:val="0"/>
              <w:adjustRightInd w:val="0"/>
              <w:ind w:left="720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</w:p>
        </w:tc>
        <w:tc>
          <w:tcPr>
            <w:tcW w:w="1795" w:type="dxa"/>
          </w:tcPr>
          <w:p w14:paraId="5EF72E82" w14:textId="08BDAAD8" w:rsidR="00E05325" w:rsidRPr="00CB0E30" w:rsidRDefault="00E05325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Jā/</w:t>
            </w:r>
            <w:r w:rsid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N</w:t>
            </w: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ē*</w:t>
            </w:r>
          </w:p>
          <w:p w14:paraId="26A0E585" w14:textId="1AA1D4AA" w:rsidR="00E05325" w:rsidRPr="00CB0E30" w:rsidRDefault="00E05325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</w:pPr>
            <w:r w:rsidRPr="00CB0E30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*</w:t>
            </w:r>
            <w:r w:rsidR="0046566B" w:rsidRPr="00CB0E30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 xml:space="preserve">ja rezultāts ir “nē”, </w:t>
            </w:r>
            <w:r w:rsidRPr="00CB0E30">
              <w:rPr>
                <w:rFonts w:ascii="Times New Roman" w:hAnsi="Times New Roman" w:cs="Times New Roman"/>
                <w:color w:val="000000"/>
                <w:sz w:val="20"/>
                <w:szCs w:val="20"/>
                <w:lang w:val="lv-LV"/>
              </w:rPr>
              <w:t>pieteikums tiek noraidīts, netiek virzīts uz kvalitatīvo vērtēšanu</w:t>
            </w:r>
          </w:p>
        </w:tc>
      </w:tr>
      <w:tr w:rsidR="00443E80" w:rsidRPr="00CB0E30" w14:paraId="42BECE45" w14:textId="77777777" w:rsidTr="00443E80">
        <w:tc>
          <w:tcPr>
            <w:tcW w:w="711" w:type="dxa"/>
          </w:tcPr>
          <w:p w14:paraId="0A312D69" w14:textId="568629CD" w:rsidR="00443E80" w:rsidRPr="00CB0E30" w:rsidRDefault="00443E80" w:rsidP="00443E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2.</w:t>
            </w:r>
          </w:p>
        </w:tc>
        <w:tc>
          <w:tcPr>
            <w:tcW w:w="6923" w:type="dxa"/>
          </w:tcPr>
          <w:p w14:paraId="1BA7D6A2" w14:textId="73FE74E9" w:rsidR="00443E80" w:rsidRPr="00CB0E30" w:rsidRDefault="00443E80" w:rsidP="00443E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Pieteikuma KVALITATĪVĀ VĒRTĒŠANA </w:t>
            </w:r>
          </w:p>
        </w:tc>
        <w:tc>
          <w:tcPr>
            <w:tcW w:w="1795" w:type="dxa"/>
          </w:tcPr>
          <w:p w14:paraId="10E1D541" w14:textId="7FB9F6BD" w:rsidR="00443E80" w:rsidRPr="00CB0E30" w:rsidRDefault="00443E80" w:rsidP="00443E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(1-10</w:t>
            </w:r>
            <w:r w:rsidR="0046566B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 punkti</w:t>
            </w: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)</w:t>
            </w:r>
          </w:p>
        </w:tc>
      </w:tr>
      <w:tr w:rsidR="00146956" w:rsidRPr="00CB0E30" w14:paraId="564A8E34" w14:textId="09FD98A6" w:rsidTr="00443E80">
        <w:tc>
          <w:tcPr>
            <w:tcW w:w="711" w:type="dxa"/>
          </w:tcPr>
          <w:p w14:paraId="30B6D30D" w14:textId="4260E9F9" w:rsidR="00146956" w:rsidRPr="00CB0E30" w:rsidRDefault="00BD0133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2.1.</w:t>
            </w:r>
          </w:p>
        </w:tc>
        <w:tc>
          <w:tcPr>
            <w:tcW w:w="6923" w:type="dxa"/>
          </w:tcPr>
          <w:p w14:paraId="7F039825" w14:textId="6E56378A" w:rsidR="00146956" w:rsidRPr="00CB0E30" w:rsidRDefault="00BD0133" w:rsidP="00146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color w:val="000000"/>
                <w:lang w:val="lv-LV"/>
              </w:rPr>
              <w:t>Pretendenta p</w:t>
            </w:r>
            <w:r w:rsidR="00146956" w:rsidRPr="00CB0E30">
              <w:rPr>
                <w:rFonts w:ascii="Times New Roman" w:hAnsi="Times New Roman" w:cs="Times New Roman"/>
                <w:color w:val="000000"/>
                <w:lang w:val="lv-LV"/>
              </w:rPr>
              <w:t xml:space="preserve">lānotie profesionālie ieguvumi no </w:t>
            </w:r>
            <w:r w:rsidR="00A00E4D" w:rsidRPr="00CB0E30">
              <w:rPr>
                <w:rFonts w:ascii="Times New Roman" w:hAnsi="Times New Roman" w:cs="Times New Roman"/>
                <w:color w:val="000000"/>
                <w:lang w:val="lv-LV"/>
              </w:rPr>
              <w:t xml:space="preserve">dalības </w:t>
            </w:r>
            <w:r w:rsidR="00146956" w:rsidRPr="00CB0E30">
              <w:rPr>
                <w:rFonts w:ascii="Times New Roman" w:hAnsi="Times New Roman" w:cs="Times New Roman"/>
                <w:color w:val="000000"/>
                <w:lang w:val="lv-LV"/>
              </w:rPr>
              <w:t xml:space="preserve">TCA </w:t>
            </w:r>
            <w:r w:rsidR="00A00E4D" w:rsidRPr="00CB0E30">
              <w:rPr>
                <w:rFonts w:ascii="Times New Roman" w:hAnsi="Times New Roman" w:cs="Times New Roman"/>
                <w:color w:val="000000"/>
                <w:lang w:val="lv-LV"/>
              </w:rPr>
              <w:t xml:space="preserve">pasākumā </w:t>
            </w:r>
            <w:r w:rsidR="00146956" w:rsidRPr="00CB0E30">
              <w:rPr>
                <w:rFonts w:ascii="Times New Roman" w:hAnsi="Times New Roman" w:cs="Times New Roman"/>
                <w:color w:val="000000"/>
                <w:lang w:val="lv-LV"/>
              </w:rPr>
              <w:t>personīgā līmenī</w:t>
            </w:r>
          </w:p>
          <w:p w14:paraId="70CB5896" w14:textId="59B48FF5" w:rsidR="00146956" w:rsidRPr="00CB0E30" w:rsidRDefault="00146956" w:rsidP="00146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1795" w:type="dxa"/>
          </w:tcPr>
          <w:p w14:paraId="60D5BE4B" w14:textId="04F7B3FE" w:rsidR="00146956" w:rsidRPr="00CB0E30" w:rsidRDefault="00146956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1-10/vismaz 5</w:t>
            </w:r>
          </w:p>
        </w:tc>
      </w:tr>
      <w:tr w:rsidR="00146956" w:rsidRPr="00CB0E30" w14:paraId="5CCC0248" w14:textId="45BE1203" w:rsidTr="00443E80">
        <w:tc>
          <w:tcPr>
            <w:tcW w:w="711" w:type="dxa"/>
          </w:tcPr>
          <w:p w14:paraId="053E3B68" w14:textId="7C9D9C72" w:rsidR="00146956" w:rsidRPr="00CB0E30" w:rsidRDefault="00653470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2.2.</w:t>
            </w:r>
          </w:p>
        </w:tc>
        <w:tc>
          <w:tcPr>
            <w:tcW w:w="6923" w:type="dxa"/>
          </w:tcPr>
          <w:p w14:paraId="48495A55" w14:textId="4587B03C" w:rsidR="00146956" w:rsidRPr="00CB0E30" w:rsidRDefault="00A00E4D" w:rsidP="00146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color w:val="000000"/>
                <w:lang w:val="lv-LV"/>
              </w:rPr>
              <w:t>Pretendenta plānotie profesionālie ieguvumi no dalības TCA pasākumā institucionālā līmenī</w:t>
            </w:r>
          </w:p>
          <w:p w14:paraId="3F79C871" w14:textId="3542371E" w:rsidR="00146956" w:rsidRPr="00CB0E30" w:rsidRDefault="00146956" w:rsidP="00146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</w:p>
        </w:tc>
        <w:tc>
          <w:tcPr>
            <w:tcW w:w="1795" w:type="dxa"/>
          </w:tcPr>
          <w:p w14:paraId="27C5CD91" w14:textId="14D72072" w:rsidR="00146956" w:rsidRPr="00CB0E30" w:rsidRDefault="00146956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1-10/vismaz 5</w:t>
            </w:r>
          </w:p>
        </w:tc>
      </w:tr>
      <w:tr w:rsidR="00146956" w:rsidRPr="00CB0E30" w14:paraId="17F99D3C" w14:textId="5EDB34E7" w:rsidTr="00443E80">
        <w:tc>
          <w:tcPr>
            <w:tcW w:w="711" w:type="dxa"/>
          </w:tcPr>
          <w:p w14:paraId="198075E6" w14:textId="1AF66AD6" w:rsidR="00146956" w:rsidRPr="00CB0E30" w:rsidRDefault="00CE5552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3. </w:t>
            </w:r>
          </w:p>
        </w:tc>
        <w:tc>
          <w:tcPr>
            <w:tcW w:w="6923" w:type="dxa"/>
          </w:tcPr>
          <w:p w14:paraId="4AECD27F" w14:textId="5A2DF316" w:rsidR="00CE5552" w:rsidRPr="00CB0E30" w:rsidRDefault="00D64F2C" w:rsidP="00146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PAPILDU PUNKTI PRETENDENTAM NO JAUNPIENĀCĒJAS ORGANIZĀCIJAS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**</w:t>
            </w:r>
          </w:p>
          <w:p w14:paraId="7037C80D" w14:textId="5F1C80DE" w:rsidR="00146956" w:rsidRPr="00D64F2C" w:rsidRDefault="00D64F2C" w:rsidP="001469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>**</w:t>
            </w:r>
            <w:r w:rsidRPr="00D64F2C"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>Jaunpienācēja organizācija TCA pasākumā - p</w:t>
            </w:r>
            <w:r w:rsidR="006715BA" w:rsidRPr="00D64F2C"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>retendenta pārstāvētā</w:t>
            </w:r>
            <w:r w:rsidR="00F00153" w:rsidRPr="00D64F2C"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 xml:space="preserve"> </w:t>
            </w:r>
            <w:r w:rsidR="006715BA" w:rsidRPr="00D64F2C"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 xml:space="preserve">organizācija </w:t>
            </w:r>
            <w:r w:rsidR="0010316C" w:rsidRPr="00D64F2C"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>nav iepriekš piedalījusies</w:t>
            </w:r>
            <w:r w:rsidR="00A55D38" w:rsidRPr="00D64F2C"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 xml:space="preserve"> citu Erasmus+ Nacionālo aģentūru organizētajos</w:t>
            </w:r>
            <w:r w:rsidR="00F00153" w:rsidRPr="00D64F2C"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 xml:space="preserve"> TCA pasākumos</w:t>
            </w:r>
            <w:r w:rsidR="00A55D38" w:rsidRPr="00D64F2C"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 xml:space="preserve"> </w:t>
            </w:r>
            <w:r w:rsidR="00517015" w:rsidRPr="00D64F2C">
              <w:rPr>
                <w:rFonts w:ascii="Times New Roman" w:hAnsi="Times New Roman" w:cs="Times New Roman"/>
                <w:i/>
                <w:iCs/>
                <w:color w:val="000000"/>
                <w:lang w:val="lv-LV"/>
              </w:rPr>
              <w:t xml:space="preserve"> Erasmus+ (2021-2027) ietvaros</w:t>
            </w:r>
          </w:p>
        </w:tc>
        <w:tc>
          <w:tcPr>
            <w:tcW w:w="1795" w:type="dxa"/>
          </w:tcPr>
          <w:p w14:paraId="7CE7EA26" w14:textId="7701C1D1" w:rsidR="00D64F2C" w:rsidRDefault="00E93ABE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0</w:t>
            </w:r>
            <w:r w:rsidR="003223D7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 (nav</w:t>
            </w:r>
            <w:r w:rsidR="00D64F2C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  jaunpienācēja org-ja</w:t>
            </w:r>
            <w:r w:rsidR="003223D7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)</w:t>
            </w:r>
            <w:r w:rsidR="00D64F2C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 /</w:t>
            </w:r>
          </w:p>
          <w:p w14:paraId="1A895FE1" w14:textId="59C1B320" w:rsidR="00146956" w:rsidRPr="00CB0E30" w:rsidRDefault="00E93ABE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2</w:t>
            </w:r>
            <w:r w:rsidR="003223D7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 (ir</w:t>
            </w:r>
            <w:r w:rsidR="00D64F2C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  jaunpienācēja org-ja</w:t>
            </w:r>
            <w:r w:rsidR="003223D7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)</w:t>
            </w:r>
          </w:p>
        </w:tc>
      </w:tr>
      <w:tr w:rsidR="00146956" w:rsidRPr="00CB0E30" w14:paraId="1C606BDC" w14:textId="77777777" w:rsidTr="00443E80">
        <w:tc>
          <w:tcPr>
            <w:tcW w:w="711" w:type="dxa"/>
          </w:tcPr>
          <w:p w14:paraId="32133CB3" w14:textId="01CE103E" w:rsidR="00146956" w:rsidRPr="00CB0E30" w:rsidRDefault="00146956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</w:p>
        </w:tc>
        <w:tc>
          <w:tcPr>
            <w:tcW w:w="6923" w:type="dxa"/>
          </w:tcPr>
          <w:p w14:paraId="1934EF62" w14:textId="575920C0" w:rsidR="00146956" w:rsidRPr="00CB0E30" w:rsidRDefault="00653470" w:rsidP="001469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Kvalitatīvās vērtēšanas rezultāts</w:t>
            </w:r>
            <w:r w:rsidR="00146956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:</w:t>
            </w:r>
          </w:p>
          <w:p w14:paraId="270C6696" w14:textId="616FCDBE" w:rsidR="00146956" w:rsidRPr="00CB0E30" w:rsidRDefault="00146956" w:rsidP="001469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</w:p>
        </w:tc>
        <w:tc>
          <w:tcPr>
            <w:tcW w:w="1795" w:type="dxa"/>
          </w:tcPr>
          <w:p w14:paraId="21C84DE1" w14:textId="63889AAA" w:rsidR="00146956" w:rsidRPr="00CB0E30" w:rsidRDefault="00146956" w:rsidP="001469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Max 2</w:t>
            </w:r>
            <w:r w:rsidR="00FC78C9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2</w:t>
            </w:r>
            <w:r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/min 10</w:t>
            </w:r>
            <w:r w:rsidR="00526920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 (organizācijām, kuras nav jaunpienācējas organizācijas</w:t>
            </w:r>
            <w:r w:rsidR="00D64F2C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>)</w:t>
            </w:r>
            <w:r w:rsidR="00526920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t xml:space="preserve"> vai min 12 (organizācijām, </w:t>
            </w:r>
            <w:r w:rsidR="00526920" w:rsidRPr="00CB0E30">
              <w:rPr>
                <w:rFonts w:ascii="Times New Roman" w:hAnsi="Times New Roman" w:cs="Times New Roman"/>
                <w:b/>
                <w:bCs/>
                <w:color w:val="000000"/>
                <w:lang w:val="lv-LV"/>
              </w:rPr>
              <w:lastRenderedPageBreak/>
              <w:t>kuras ir jaunpienācējas organizācijas)</w:t>
            </w:r>
          </w:p>
        </w:tc>
      </w:tr>
    </w:tbl>
    <w:p w14:paraId="120936D7" w14:textId="441EBCFC" w:rsidR="0088161D" w:rsidRPr="00CB0E30" w:rsidRDefault="0088161D" w:rsidP="00881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lv-LV"/>
        </w:rPr>
      </w:pPr>
    </w:p>
    <w:p w14:paraId="6E3AD40E" w14:textId="7BEAA69A" w:rsidR="001E0823" w:rsidRPr="00CB0E30" w:rsidRDefault="001E0823" w:rsidP="00881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lv-LV"/>
        </w:rPr>
      </w:pPr>
      <w:r w:rsidRPr="00CB0E30">
        <w:rPr>
          <w:rFonts w:ascii="Times New Roman" w:hAnsi="Times New Roman" w:cs="Times New Roman"/>
          <w:color w:val="000000"/>
          <w:lang w:val="lv-LV"/>
        </w:rPr>
        <w:t>Pieteikuma vērtējuma rezultātā TCA dalībnieks var tikt:</w:t>
      </w:r>
    </w:p>
    <w:p w14:paraId="21C62761" w14:textId="77777777" w:rsidR="001E0823" w:rsidRPr="00CB0E30" w:rsidRDefault="001E0823" w:rsidP="001E08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lv-LV"/>
        </w:rPr>
      </w:pPr>
      <w:r w:rsidRPr="00CB0E30">
        <w:rPr>
          <w:rFonts w:ascii="Times New Roman" w:hAnsi="Times New Roman" w:cs="Times New Roman"/>
          <w:color w:val="000000"/>
          <w:lang w:val="lv-LV"/>
        </w:rPr>
        <w:t>apstiprināts dalībai TCA pasākumā;</w:t>
      </w:r>
    </w:p>
    <w:p w14:paraId="41E94D5A" w14:textId="04D20B24" w:rsidR="001E0823" w:rsidRPr="00CB0E30" w:rsidRDefault="001E0823" w:rsidP="001E08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lv-LV"/>
        </w:rPr>
      </w:pPr>
      <w:r w:rsidRPr="00CB0E30">
        <w:rPr>
          <w:rFonts w:ascii="Times New Roman" w:hAnsi="Times New Roman" w:cs="Times New Roman"/>
          <w:color w:val="000000"/>
          <w:lang w:val="lv-LV"/>
        </w:rPr>
        <w:t>iekļauts rezerves sarakstā (ievērojot valstij noteikto dalībnieku vietu skaitu</w:t>
      </w:r>
      <w:r w:rsidR="007A2264" w:rsidRPr="00CB0E30">
        <w:rPr>
          <w:rFonts w:ascii="Times New Roman" w:hAnsi="Times New Roman" w:cs="Times New Roman"/>
          <w:color w:val="000000"/>
          <w:lang w:val="lv-LV"/>
        </w:rPr>
        <w:t xml:space="preserve"> konkrētajā TCA pasākumā</w:t>
      </w:r>
      <w:r w:rsidRPr="00CB0E30">
        <w:rPr>
          <w:rFonts w:ascii="Times New Roman" w:hAnsi="Times New Roman" w:cs="Times New Roman"/>
          <w:color w:val="000000"/>
          <w:lang w:val="lv-LV"/>
        </w:rPr>
        <w:t>);</w:t>
      </w:r>
    </w:p>
    <w:p w14:paraId="5DA02956" w14:textId="32B48401" w:rsidR="001E0823" w:rsidRPr="00CB0E30" w:rsidRDefault="001E0823" w:rsidP="001B6B5E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lv-LV"/>
        </w:rPr>
      </w:pPr>
      <w:r w:rsidRPr="00CB0E30">
        <w:rPr>
          <w:rFonts w:ascii="Times New Roman" w:hAnsi="Times New Roman" w:cs="Times New Roman"/>
          <w:color w:val="000000"/>
          <w:lang w:val="lv-LV"/>
        </w:rPr>
        <w:t xml:space="preserve">noraidīts (pieteikums tiek noraidīts, ja kādā no administratīvās </w:t>
      </w:r>
      <w:r w:rsidR="00B72B61">
        <w:rPr>
          <w:rFonts w:ascii="Times New Roman" w:hAnsi="Times New Roman" w:cs="Times New Roman"/>
          <w:color w:val="000000"/>
          <w:lang w:val="lv-LV"/>
        </w:rPr>
        <w:t>atbilstības</w:t>
      </w:r>
      <w:r w:rsidRPr="00CB0E30">
        <w:rPr>
          <w:rFonts w:ascii="Times New Roman" w:hAnsi="Times New Roman" w:cs="Times New Roman"/>
          <w:color w:val="000000"/>
          <w:lang w:val="lv-LV"/>
        </w:rPr>
        <w:t xml:space="preserve"> kritērijiem ir saņemts “nē”, vai, ja kādā no kvalitatīvās vērtēšanas kritērijiem ir saņemts mazāk kā 5 punkti).</w:t>
      </w:r>
    </w:p>
    <w:p w14:paraId="7458D6F6" w14:textId="77777777" w:rsidR="0088161D" w:rsidRPr="00CB0E30" w:rsidRDefault="0088161D" w:rsidP="008816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val="lv-LV"/>
        </w:rPr>
      </w:pPr>
    </w:p>
    <w:p w14:paraId="1C48D141" w14:textId="77777777" w:rsidR="00B073FC" w:rsidRPr="00CB0E30" w:rsidRDefault="00B073FC" w:rsidP="003608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lang w:val="lv-LV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817"/>
        <w:gridCol w:w="1134"/>
        <w:gridCol w:w="7513"/>
      </w:tblGrid>
      <w:tr w:rsidR="00810D38" w:rsidRPr="00CB0E30" w14:paraId="55EA4475" w14:textId="77777777" w:rsidTr="00810D38">
        <w:tc>
          <w:tcPr>
            <w:tcW w:w="1951" w:type="dxa"/>
            <w:gridSpan w:val="2"/>
            <w:shd w:val="clear" w:color="auto" w:fill="D9D9D9" w:themeFill="background1" w:themeFillShade="D9"/>
          </w:tcPr>
          <w:p w14:paraId="265F835D" w14:textId="02347922" w:rsidR="00810D38" w:rsidRPr="00CB0E30" w:rsidRDefault="00810D38" w:rsidP="0081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Vērtējums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55EA4474" w14:textId="28D3332B" w:rsidR="00810D38" w:rsidRPr="00CB0E30" w:rsidRDefault="00613398" w:rsidP="0081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Pieteikuma kvalitatīvās v</w:t>
            </w:r>
            <w:r w:rsidR="00810D38"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ērtēšanas</w:t>
            </w:r>
            <w:r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 xml:space="preserve"> punktu</w:t>
            </w:r>
            <w:r w:rsidR="00810D38"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 xml:space="preserve"> skala</w:t>
            </w:r>
            <w:r w:rsidR="00211C08"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 xml:space="preserve"> 1-10</w:t>
            </w:r>
          </w:p>
        </w:tc>
      </w:tr>
      <w:tr w:rsidR="00810D38" w:rsidRPr="00CB0E30" w14:paraId="191131C1" w14:textId="77777777" w:rsidTr="00426CAF">
        <w:tc>
          <w:tcPr>
            <w:tcW w:w="817" w:type="dxa"/>
          </w:tcPr>
          <w:p w14:paraId="3D64301C" w14:textId="6BE05002" w:rsidR="00810D38" w:rsidRPr="00CB0E30" w:rsidRDefault="000964EB" w:rsidP="0081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9-10</w:t>
            </w:r>
          </w:p>
        </w:tc>
        <w:tc>
          <w:tcPr>
            <w:tcW w:w="1134" w:type="dxa"/>
          </w:tcPr>
          <w:p w14:paraId="0F12D8AC" w14:textId="345CEE22" w:rsidR="00810D38" w:rsidRPr="00CB0E30" w:rsidRDefault="00810D38" w:rsidP="0081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Ļoti labi</w:t>
            </w:r>
          </w:p>
        </w:tc>
        <w:tc>
          <w:tcPr>
            <w:tcW w:w="7513" w:type="dxa"/>
          </w:tcPr>
          <w:p w14:paraId="3F59B54F" w14:textId="77777777" w:rsidR="00810D38" w:rsidRPr="00CB0E30" w:rsidRDefault="00810D38" w:rsidP="00810D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Cs/>
                <w:i/>
                <w:iCs/>
                <w:color w:val="000000"/>
                <w:lang w:val="lv-LV"/>
              </w:rPr>
              <w:t>Pieteikums pārliecinoši atbilst vērtēšanas kritērijam. Tajā sniegtā informācija ir izsmeļoša un sniedz pārliecību par atbilstību vērtēšanas kritērijam.</w:t>
            </w:r>
          </w:p>
          <w:p w14:paraId="610F0A76" w14:textId="636546CB" w:rsidR="00B340CA" w:rsidRPr="00CB0E30" w:rsidRDefault="00B340CA" w:rsidP="00810D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lang w:val="lv-LV"/>
              </w:rPr>
            </w:pPr>
          </w:p>
        </w:tc>
      </w:tr>
      <w:tr w:rsidR="00810D38" w:rsidRPr="00CB0E30" w14:paraId="55EA4478" w14:textId="77777777" w:rsidTr="00426CAF">
        <w:tc>
          <w:tcPr>
            <w:tcW w:w="817" w:type="dxa"/>
          </w:tcPr>
          <w:p w14:paraId="03D1C56A" w14:textId="51925A85" w:rsidR="00810D38" w:rsidRPr="00CB0E30" w:rsidRDefault="00211C08" w:rsidP="0081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7-8</w:t>
            </w:r>
          </w:p>
        </w:tc>
        <w:tc>
          <w:tcPr>
            <w:tcW w:w="1134" w:type="dxa"/>
          </w:tcPr>
          <w:p w14:paraId="55EA4476" w14:textId="21325D36" w:rsidR="00810D38" w:rsidRPr="00CB0E30" w:rsidRDefault="00810D38" w:rsidP="0081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Labi</w:t>
            </w:r>
          </w:p>
        </w:tc>
        <w:tc>
          <w:tcPr>
            <w:tcW w:w="7513" w:type="dxa"/>
          </w:tcPr>
          <w:p w14:paraId="2015CF23" w14:textId="77777777" w:rsidR="00B340CA" w:rsidRPr="00CB0E30" w:rsidRDefault="00810D38" w:rsidP="00810D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Cs/>
                <w:i/>
                <w:iCs/>
                <w:color w:val="000000"/>
                <w:lang w:val="lv-LV"/>
              </w:rPr>
              <w:t>Pieteikums atbilst vērtēšanas kritērijam, lai gan pastāv iespēja uzlabojumiem. Sniegtā informācija ir pietiekama vai arī nepieciešami nebūtiski precizējumi.</w:t>
            </w:r>
          </w:p>
          <w:p w14:paraId="55EA4477" w14:textId="6F8D7030" w:rsidR="00810D38" w:rsidRPr="00CB0E30" w:rsidRDefault="00810D38" w:rsidP="00810D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Cs/>
                <w:i/>
                <w:iCs/>
                <w:color w:val="000000"/>
                <w:lang w:val="lv-LV"/>
              </w:rPr>
              <w:t xml:space="preserve"> </w:t>
            </w:r>
          </w:p>
        </w:tc>
      </w:tr>
      <w:tr w:rsidR="00810D38" w:rsidRPr="00CB0E30" w14:paraId="55EA447B" w14:textId="77777777" w:rsidTr="00426CAF">
        <w:tc>
          <w:tcPr>
            <w:tcW w:w="817" w:type="dxa"/>
          </w:tcPr>
          <w:p w14:paraId="626507DE" w14:textId="76A77415" w:rsidR="00810D38" w:rsidRPr="00CB0E30" w:rsidRDefault="00211C08" w:rsidP="0081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5-6</w:t>
            </w:r>
          </w:p>
        </w:tc>
        <w:tc>
          <w:tcPr>
            <w:tcW w:w="1134" w:type="dxa"/>
          </w:tcPr>
          <w:p w14:paraId="682E48F5" w14:textId="242EB79C" w:rsidR="00810D38" w:rsidRPr="00CB0E30" w:rsidRDefault="00810D38" w:rsidP="0081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Viduvēji</w:t>
            </w:r>
          </w:p>
          <w:p w14:paraId="55EA4479" w14:textId="1543E17E" w:rsidR="00810D38" w:rsidRPr="00CB0E30" w:rsidRDefault="00810D38" w:rsidP="0081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</w:p>
        </w:tc>
        <w:tc>
          <w:tcPr>
            <w:tcW w:w="7513" w:type="dxa"/>
          </w:tcPr>
          <w:p w14:paraId="55EA447A" w14:textId="1F38AFB4" w:rsidR="00810D38" w:rsidRPr="00CB0E30" w:rsidRDefault="00810D38" w:rsidP="00810D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Cs/>
                <w:i/>
                <w:iCs/>
                <w:color w:val="000000"/>
                <w:lang w:val="lv-LV"/>
              </w:rPr>
              <w:t>Pieteikums kopumā atbilst vērtēšanas kritērijam, tomēr ir konstatētas dažādas nepilnības. Sniegtā informācija ir pietiekama, tomēr tekstā trūkst informācijas vai tā ir nepilnīga.</w:t>
            </w:r>
          </w:p>
        </w:tc>
      </w:tr>
      <w:tr w:rsidR="00810D38" w:rsidRPr="00CB0E30" w14:paraId="55EA447E" w14:textId="77777777" w:rsidTr="00426CAF">
        <w:tc>
          <w:tcPr>
            <w:tcW w:w="817" w:type="dxa"/>
          </w:tcPr>
          <w:p w14:paraId="485D9377" w14:textId="111D4CAF" w:rsidR="00810D38" w:rsidRPr="00CB0E30" w:rsidRDefault="00211C08" w:rsidP="0081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3-4</w:t>
            </w:r>
          </w:p>
        </w:tc>
        <w:tc>
          <w:tcPr>
            <w:tcW w:w="1134" w:type="dxa"/>
          </w:tcPr>
          <w:p w14:paraId="55EA447C" w14:textId="2F46B117" w:rsidR="00810D38" w:rsidRPr="00CB0E30" w:rsidRDefault="00810D38" w:rsidP="0081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Vāji</w:t>
            </w:r>
          </w:p>
        </w:tc>
        <w:tc>
          <w:tcPr>
            <w:tcW w:w="7513" w:type="dxa"/>
          </w:tcPr>
          <w:p w14:paraId="1A74B9F0" w14:textId="002EB6E4" w:rsidR="00810D38" w:rsidRPr="00CB0E30" w:rsidRDefault="00810D38" w:rsidP="00810D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Cs/>
                <w:i/>
                <w:iCs/>
                <w:color w:val="000000"/>
                <w:lang w:val="lv-LV"/>
              </w:rPr>
              <w:t xml:space="preserve">Pieteikuma atbilstība vērtēšanas kritērijam ir vāji pamatota. Sniegtā informācija ir nepilnīga vai neskaidra.   </w:t>
            </w:r>
          </w:p>
          <w:p w14:paraId="55EA447D" w14:textId="7510A41C" w:rsidR="00810D38" w:rsidRPr="00CB0E30" w:rsidRDefault="00810D38" w:rsidP="00810D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</w:p>
        </w:tc>
      </w:tr>
      <w:tr w:rsidR="00810D38" w:rsidRPr="00CB0E30" w14:paraId="55EA4481" w14:textId="77777777" w:rsidTr="00426CAF">
        <w:tc>
          <w:tcPr>
            <w:tcW w:w="817" w:type="dxa"/>
          </w:tcPr>
          <w:p w14:paraId="6554AEA2" w14:textId="28FFDC1B" w:rsidR="00810D38" w:rsidRPr="00CB0E30" w:rsidRDefault="00810D38" w:rsidP="0081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1</w:t>
            </w:r>
            <w:r w:rsidR="00211C08"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-2</w:t>
            </w:r>
          </w:p>
        </w:tc>
        <w:tc>
          <w:tcPr>
            <w:tcW w:w="1134" w:type="dxa"/>
          </w:tcPr>
          <w:p w14:paraId="55EA447F" w14:textId="46049BE4" w:rsidR="00810D38" w:rsidRPr="00CB0E30" w:rsidRDefault="00810D38" w:rsidP="00810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  <w:t>Ļoti vāji</w:t>
            </w:r>
          </w:p>
        </w:tc>
        <w:tc>
          <w:tcPr>
            <w:tcW w:w="7513" w:type="dxa"/>
          </w:tcPr>
          <w:p w14:paraId="43C2BEA0" w14:textId="77777777" w:rsidR="00810D38" w:rsidRPr="00CB0E30" w:rsidRDefault="00810D38" w:rsidP="00810D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lang w:val="lv-LV"/>
              </w:rPr>
            </w:pPr>
            <w:r w:rsidRPr="00CB0E30">
              <w:rPr>
                <w:rFonts w:ascii="Times New Roman" w:hAnsi="Times New Roman" w:cs="Times New Roman"/>
                <w:bCs/>
                <w:i/>
                <w:iCs/>
                <w:color w:val="000000"/>
                <w:lang w:val="lv-LV"/>
              </w:rPr>
              <w:t xml:space="preserve">Pieteikuma atbilstību vērtēšanas kritērijam nevar izvērtēt nenorādītas informācijas dēļ. </w:t>
            </w:r>
          </w:p>
          <w:p w14:paraId="55EA4480" w14:textId="65994396" w:rsidR="00810D38" w:rsidRPr="00CB0E30" w:rsidRDefault="00810D38" w:rsidP="00810D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lang w:val="lv-LV"/>
              </w:rPr>
            </w:pPr>
          </w:p>
        </w:tc>
      </w:tr>
    </w:tbl>
    <w:p w14:paraId="55EA4482" w14:textId="77777777" w:rsidR="00EC6625" w:rsidRPr="00CB0E30" w:rsidRDefault="00EC6625" w:rsidP="007A1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v-LV"/>
        </w:rPr>
      </w:pPr>
    </w:p>
    <w:p w14:paraId="633F22ED" w14:textId="0280DF96" w:rsidR="008B1F6C" w:rsidRPr="00CB0E30" w:rsidRDefault="008B1F6C" w:rsidP="003E5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lv-LV"/>
        </w:rPr>
      </w:pPr>
    </w:p>
    <w:sectPr w:rsidR="008B1F6C" w:rsidRPr="00CB0E30" w:rsidSect="00513F1B">
      <w:headerReference w:type="default" r:id="rId8"/>
      <w:pgSz w:w="11906" w:h="16838"/>
      <w:pgMar w:top="709" w:right="992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34EB" w14:textId="77777777" w:rsidR="000D37D2" w:rsidRPr="00A77C41" w:rsidRDefault="000D37D2" w:rsidP="002378AC">
      <w:pPr>
        <w:spacing w:after="0" w:line="240" w:lineRule="auto"/>
      </w:pPr>
      <w:r w:rsidRPr="00A77C41">
        <w:separator/>
      </w:r>
    </w:p>
  </w:endnote>
  <w:endnote w:type="continuationSeparator" w:id="0">
    <w:p w14:paraId="3DAB13DD" w14:textId="77777777" w:rsidR="000D37D2" w:rsidRPr="00A77C41" w:rsidRDefault="000D37D2" w:rsidP="002378AC">
      <w:pPr>
        <w:spacing w:after="0" w:line="240" w:lineRule="auto"/>
      </w:pPr>
      <w:r w:rsidRPr="00A77C4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0EAF" w14:textId="77777777" w:rsidR="000D37D2" w:rsidRPr="00A77C41" w:rsidRDefault="000D37D2" w:rsidP="002378AC">
      <w:pPr>
        <w:spacing w:after="0" w:line="240" w:lineRule="auto"/>
      </w:pPr>
      <w:r w:rsidRPr="00A77C41">
        <w:separator/>
      </w:r>
    </w:p>
  </w:footnote>
  <w:footnote w:type="continuationSeparator" w:id="0">
    <w:p w14:paraId="4C645E26" w14:textId="77777777" w:rsidR="000D37D2" w:rsidRPr="00A77C41" w:rsidRDefault="000D37D2" w:rsidP="002378AC">
      <w:pPr>
        <w:spacing w:after="0" w:line="240" w:lineRule="auto"/>
      </w:pPr>
      <w:r w:rsidRPr="00A77C4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3B6" w14:textId="2C89FE51" w:rsidR="00FC3F2C" w:rsidRPr="00A77C41" w:rsidRDefault="008014A1" w:rsidP="008014A1">
    <w:pPr>
      <w:pStyle w:val="Header"/>
      <w:jc w:val="center"/>
    </w:pPr>
    <w:r w:rsidRPr="00A77C41">
      <w:rPr>
        <w:noProof/>
      </w:rPr>
      <w:drawing>
        <wp:inline distT="0" distB="0" distL="0" distR="0" wp14:anchorId="0761C907" wp14:editId="14D9FEFE">
          <wp:extent cx="4962525" cy="1024255"/>
          <wp:effectExtent l="0" t="0" r="0" b="0"/>
          <wp:docPr id="1530945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431EE1" w14:textId="77777777" w:rsidR="00FC3F2C" w:rsidRPr="00A77C41" w:rsidRDefault="00FC3F2C">
    <w:pPr>
      <w:pStyle w:val="Header"/>
    </w:pPr>
  </w:p>
  <w:p w14:paraId="55EA448B" w14:textId="56DC94BE" w:rsidR="00413873" w:rsidRPr="00A77C41" w:rsidRDefault="00553D2A">
    <w:pPr>
      <w:pStyle w:val="Header"/>
    </w:pPr>
    <w:r w:rsidRPr="00A77C41">
      <w:t xml:space="preserve">         </w:t>
    </w:r>
    <w:r w:rsidR="00132231" w:rsidRPr="00A77C41"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25626"/>
    <w:multiLevelType w:val="hybridMultilevel"/>
    <w:tmpl w:val="153AD6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562BB"/>
    <w:multiLevelType w:val="hybridMultilevel"/>
    <w:tmpl w:val="FB06E31A"/>
    <w:lvl w:ilvl="0" w:tplc="13E6B620">
      <w:start w:val="1"/>
      <w:numFmt w:val="decimal"/>
      <w:lvlText w:val="(%1)"/>
      <w:lvlJc w:val="left"/>
      <w:pPr>
        <w:ind w:left="720" w:hanging="360"/>
      </w:pPr>
      <w:rPr>
        <w:rFonts w:hint="default"/>
        <w:i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3130D"/>
    <w:multiLevelType w:val="hybridMultilevel"/>
    <w:tmpl w:val="1F6847D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365B3"/>
    <w:multiLevelType w:val="multilevel"/>
    <w:tmpl w:val="7C9E2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0660921">
    <w:abstractNumId w:val="0"/>
  </w:num>
  <w:num w:numId="2" w16cid:durableId="1457674288">
    <w:abstractNumId w:val="2"/>
  </w:num>
  <w:num w:numId="3" w16cid:durableId="1114835287">
    <w:abstractNumId w:val="3"/>
  </w:num>
  <w:num w:numId="4" w16cid:durableId="1728407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81A"/>
    <w:rsid w:val="00022347"/>
    <w:rsid w:val="00032D66"/>
    <w:rsid w:val="0005761F"/>
    <w:rsid w:val="00071F5C"/>
    <w:rsid w:val="00072736"/>
    <w:rsid w:val="000815F3"/>
    <w:rsid w:val="00091B5E"/>
    <w:rsid w:val="000964EB"/>
    <w:rsid w:val="000B7C58"/>
    <w:rsid w:val="000C1426"/>
    <w:rsid w:val="000C1877"/>
    <w:rsid w:val="000C38C4"/>
    <w:rsid w:val="000D37D2"/>
    <w:rsid w:val="000D54BD"/>
    <w:rsid w:val="000F0915"/>
    <w:rsid w:val="000F1B19"/>
    <w:rsid w:val="0010316C"/>
    <w:rsid w:val="001219AA"/>
    <w:rsid w:val="00125C4E"/>
    <w:rsid w:val="00127ACF"/>
    <w:rsid w:val="00132231"/>
    <w:rsid w:val="00146956"/>
    <w:rsid w:val="00147CA8"/>
    <w:rsid w:val="00150BB8"/>
    <w:rsid w:val="001526CF"/>
    <w:rsid w:val="00155E40"/>
    <w:rsid w:val="00161D40"/>
    <w:rsid w:val="00162668"/>
    <w:rsid w:val="0016307A"/>
    <w:rsid w:val="00183216"/>
    <w:rsid w:val="00187DFE"/>
    <w:rsid w:val="00195340"/>
    <w:rsid w:val="00197C50"/>
    <w:rsid w:val="001A19FF"/>
    <w:rsid w:val="001B6B5E"/>
    <w:rsid w:val="001C6018"/>
    <w:rsid w:val="001E0823"/>
    <w:rsid w:val="001E71C0"/>
    <w:rsid w:val="001F3727"/>
    <w:rsid w:val="001F4CC2"/>
    <w:rsid w:val="0020727B"/>
    <w:rsid w:val="00211681"/>
    <w:rsid w:val="00211C08"/>
    <w:rsid w:val="00212187"/>
    <w:rsid w:val="00213B18"/>
    <w:rsid w:val="00215C1E"/>
    <w:rsid w:val="00216EDF"/>
    <w:rsid w:val="00225314"/>
    <w:rsid w:val="002378AC"/>
    <w:rsid w:val="002466AC"/>
    <w:rsid w:val="002504E8"/>
    <w:rsid w:val="00252759"/>
    <w:rsid w:val="0025696A"/>
    <w:rsid w:val="002575D9"/>
    <w:rsid w:val="00266B6D"/>
    <w:rsid w:val="0027266C"/>
    <w:rsid w:val="00273298"/>
    <w:rsid w:val="00273994"/>
    <w:rsid w:val="0028134A"/>
    <w:rsid w:val="00285B75"/>
    <w:rsid w:val="00286D85"/>
    <w:rsid w:val="00287ED2"/>
    <w:rsid w:val="00291AF5"/>
    <w:rsid w:val="00297463"/>
    <w:rsid w:val="002B478A"/>
    <w:rsid w:val="002B4DCB"/>
    <w:rsid w:val="002C38DC"/>
    <w:rsid w:val="002D356D"/>
    <w:rsid w:val="002D4C0D"/>
    <w:rsid w:val="002F02EC"/>
    <w:rsid w:val="00305B90"/>
    <w:rsid w:val="003223D7"/>
    <w:rsid w:val="00322590"/>
    <w:rsid w:val="00346E91"/>
    <w:rsid w:val="0036080C"/>
    <w:rsid w:val="003629C7"/>
    <w:rsid w:val="003638E1"/>
    <w:rsid w:val="00372BAA"/>
    <w:rsid w:val="00373133"/>
    <w:rsid w:val="003732B7"/>
    <w:rsid w:val="00382D62"/>
    <w:rsid w:val="00393129"/>
    <w:rsid w:val="00396E75"/>
    <w:rsid w:val="003A0C9F"/>
    <w:rsid w:val="003A6033"/>
    <w:rsid w:val="003B2EC0"/>
    <w:rsid w:val="003C6BA8"/>
    <w:rsid w:val="003D0B2D"/>
    <w:rsid w:val="003E0273"/>
    <w:rsid w:val="003E1AEB"/>
    <w:rsid w:val="003E2075"/>
    <w:rsid w:val="003E52BB"/>
    <w:rsid w:val="003E590E"/>
    <w:rsid w:val="003F3E31"/>
    <w:rsid w:val="00410068"/>
    <w:rsid w:val="00413873"/>
    <w:rsid w:val="00426CAF"/>
    <w:rsid w:val="00434CD0"/>
    <w:rsid w:val="00443E80"/>
    <w:rsid w:val="0045664B"/>
    <w:rsid w:val="0046007C"/>
    <w:rsid w:val="004609E5"/>
    <w:rsid w:val="0046566B"/>
    <w:rsid w:val="0047009C"/>
    <w:rsid w:val="00470CFB"/>
    <w:rsid w:val="00470FEE"/>
    <w:rsid w:val="00473D3E"/>
    <w:rsid w:val="00477020"/>
    <w:rsid w:val="004A06DD"/>
    <w:rsid w:val="004E728A"/>
    <w:rsid w:val="004F1B4E"/>
    <w:rsid w:val="004F38AF"/>
    <w:rsid w:val="004F4598"/>
    <w:rsid w:val="005106AE"/>
    <w:rsid w:val="00513F1B"/>
    <w:rsid w:val="00517015"/>
    <w:rsid w:val="00526920"/>
    <w:rsid w:val="00527086"/>
    <w:rsid w:val="0054604B"/>
    <w:rsid w:val="00546300"/>
    <w:rsid w:val="00553D2A"/>
    <w:rsid w:val="00557346"/>
    <w:rsid w:val="005743C9"/>
    <w:rsid w:val="005923BE"/>
    <w:rsid w:val="00597FF8"/>
    <w:rsid w:val="005A7FA5"/>
    <w:rsid w:val="005B0CAB"/>
    <w:rsid w:val="005B2D3B"/>
    <w:rsid w:val="005C0F45"/>
    <w:rsid w:val="005C5C8D"/>
    <w:rsid w:val="005D6753"/>
    <w:rsid w:val="005E7D2A"/>
    <w:rsid w:val="005F3A87"/>
    <w:rsid w:val="00607AE7"/>
    <w:rsid w:val="00613398"/>
    <w:rsid w:val="00625684"/>
    <w:rsid w:val="00642C5E"/>
    <w:rsid w:val="006436FA"/>
    <w:rsid w:val="00653470"/>
    <w:rsid w:val="00657B10"/>
    <w:rsid w:val="00661271"/>
    <w:rsid w:val="006715BA"/>
    <w:rsid w:val="006A4F57"/>
    <w:rsid w:val="006B2FD7"/>
    <w:rsid w:val="006B4CF6"/>
    <w:rsid w:val="006B7744"/>
    <w:rsid w:val="006E3F1F"/>
    <w:rsid w:val="006F08E3"/>
    <w:rsid w:val="006F0B1E"/>
    <w:rsid w:val="006F7331"/>
    <w:rsid w:val="0070410C"/>
    <w:rsid w:val="00711C6A"/>
    <w:rsid w:val="007121F1"/>
    <w:rsid w:val="00712609"/>
    <w:rsid w:val="007128AC"/>
    <w:rsid w:val="00713F46"/>
    <w:rsid w:val="00726004"/>
    <w:rsid w:val="0073291E"/>
    <w:rsid w:val="00734DC3"/>
    <w:rsid w:val="00740435"/>
    <w:rsid w:val="0074089E"/>
    <w:rsid w:val="007714EB"/>
    <w:rsid w:val="00782D36"/>
    <w:rsid w:val="00795B83"/>
    <w:rsid w:val="007A181A"/>
    <w:rsid w:val="007A2264"/>
    <w:rsid w:val="007A6FDD"/>
    <w:rsid w:val="007B100D"/>
    <w:rsid w:val="007B5DB4"/>
    <w:rsid w:val="007D1841"/>
    <w:rsid w:val="007D4369"/>
    <w:rsid w:val="007D58DE"/>
    <w:rsid w:val="007F295A"/>
    <w:rsid w:val="008014A1"/>
    <w:rsid w:val="00810D38"/>
    <w:rsid w:val="00814395"/>
    <w:rsid w:val="00823EB1"/>
    <w:rsid w:val="00824A9C"/>
    <w:rsid w:val="00830B56"/>
    <w:rsid w:val="008310AF"/>
    <w:rsid w:val="00836C7E"/>
    <w:rsid w:val="008425CE"/>
    <w:rsid w:val="00844497"/>
    <w:rsid w:val="00844A4A"/>
    <w:rsid w:val="00845B88"/>
    <w:rsid w:val="00850ACE"/>
    <w:rsid w:val="00857DB1"/>
    <w:rsid w:val="0086000B"/>
    <w:rsid w:val="00872B9A"/>
    <w:rsid w:val="00877E0F"/>
    <w:rsid w:val="0088161D"/>
    <w:rsid w:val="00883A41"/>
    <w:rsid w:val="00890952"/>
    <w:rsid w:val="00896D97"/>
    <w:rsid w:val="008A10E1"/>
    <w:rsid w:val="008A6A22"/>
    <w:rsid w:val="008B1F6C"/>
    <w:rsid w:val="008B3E3A"/>
    <w:rsid w:val="008C36B8"/>
    <w:rsid w:val="008C46EE"/>
    <w:rsid w:val="008F16C4"/>
    <w:rsid w:val="00912329"/>
    <w:rsid w:val="009217A5"/>
    <w:rsid w:val="00926B0E"/>
    <w:rsid w:val="009327F6"/>
    <w:rsid w:val="0093597A"/>
    <w:rsid w:val="00942BE2"/>
    <w:rsid w:val="00956C86"/>
    <w:rsid w:val="0096365E"/>
    <w:rsid w:val="00972633"/>
    <w:rsid w:val="0099520A"/>
    <w:rsid w:val="009B4634"/>
    <w:rsid w:val="009B5A22"/>
    <w:rsid w:val="009B6D49"/>
    <w:rsid w:val="009C174D"/>
    <w:rsid w:val="009D59D3"/>
    <w:rsid w:val="009E2F6F"/>
    <w:rsid w:val="009E491C"/>
    <w:rsid w:val="009F58AE"/>
    <w:rsid w:val="00A00E4D"/>
    <w:rsid w:val="00A01B40"/>
    <w:rsid w:val="00A06990"/>
    <w:rsid w:val="00A10EAF"/>
    <w:rsid w:val="00A11BDE"/>
    <w:rsid w:val="00A179A5"/>
    <w:rsid w:val="00A20075"/>
    <w:rsid w:val="00A208E0"/>
    <w:rsid w:val="00A21626"/>
    <w:rsid w:val="00A2751B"/>
    <w:rsid w:val="00A43FDA"/>
    <w:rsid w:val="00A45BB4"/>
    <w:rsid w:val="00A55D38"/>
    <w:rsid w:val="00A632F4"/>
    <w:rsid w:val="00A63F92"/>
    <w:rsid w:val="00A6746C"/>
    <w:rsid w:val="00A676B5"/>
    <w:rsid w:val="00A73B36"/>
    <w:rsid w:val="00A76C04"/>
    <w:rsid w:val="00A77C41"/>
    <w:rsid w:val="00A870B3"/>
    <w:rsid w:val="00A875EE"/>
    <w:rsid w:val="00A93C11"/>
    <w:rsid w:val="00AA400D"/>
    <w:rsid w:val="00AA5FAB"/>
    <w:rsid w:val="00AB3344"/>
    <w:rsid w:val="00AB5C55"/>
    <w:rsid w:val="00AC0F22"/>
    <w:rsid w:val="00AC17FA"/>
    <w:rsid w:val="00AD617A"/>
    <w:rsid w:val="00AD7E64"/>
    <w:rsid w:val="00AE7DB5"/>
    <w:rsid w:val="00B02EB9"/>
    <w:rsid w:val="00B073FC"/>
    <w:rsid w:val="00B24CC9"/>
    <w:rsid w:val="00B340CA"/>
    <w:rsid w:val="00B56395"/>
    <w:rsid w:val="00B61038"/>
    <w:rsid w:val="00B7036F"/>
    <w:rsid w:val="00B703D8"/>
    <w:rsid w:val="00B72B61"/>
    <w:rsid w:val="00B80DC3"/>
    <w:rsid w:val="00B8411D"/>
    <w:rsid w:val="00B918A9"/>
    <w:rsid w:val="00BA1050"/>
    <w:rsid w:val="00BB037E"/>
    <w:rsid w:val="00BD0133"/>
    <w:rsid w:val="00BD3668"/>
    <w:rsid w:val="00BD4B1E"/>
    <w:rsid w:val="00C1176A"/>
    <w:rsid w:val="00C14A50"/>
    <w:rsid w:val="00C2239C"/>
    <w:rsid w:val="00C25F0B"/>
    <w:rsid w:val="00C31145"/>
    <w:rsid w:val="00C31E6D"/>
    <w:rsid w:val="00C34AF0"/>
    <w:rsid w:val="00C3501A"/>
    <w:rsid w:val="00C37486"/>
    <w:rsid w:val="00C577EE"/>
    <w:rsid w:val="00C653D1"/>
    <w:rsid w:val="00C65D24"/>
    <w:rsid w:val="00C72640"/>
    <w:rsid w:val="00C77252"/>
    <w:rsid w:val="00C840BD"/>
    <w:rsid w:val="00C86577"/>
    <w:rsid w:val="00CA65AB"/>
    <w:rsid w:val="00CB0E30"/>
    <w:rsid w:val="00CB697C"/>
    <w:rsid w:val="00CC1B2E"/>
    <w:rsid w:val="00CC28DC"/>
    <w:rsid w:val="00CD4AF7"/>
    <w:rsid w:val="00CD5624"/>
    <w:rsid w:val="00CE5552"/>
    <w:rsid w:val="00CF437E"/>
    <w:rsid w:val="00D14800"/>
    <w:rsid w:val="00D174BB"/>
    <w:rsid w:val="00D209F5"/>
    <w:rsid w:val="00D36CA3"/>
    <w:rsid w:val="00D44673"/>
    <w:rsid w:val="00D64F2C"/>
    <w:rsid w:val="00D718BD"/>
    <w:rsid w:val="00D840C0"/>
    <w:rsid w:val="00D92DED"/>
    <w:rsid w:val="00D93203"/>
    <w:rsid w:val="00D947D8"/>
    <w:rsid w:val="00DB0A59"/>
    <w:rsid w:val="00DB0B95"/>
    <w:rsid w:val="00DB4846"/>
    <w:rsid w:val="00DE4643"/>
    <w:rsid w:val="00DE7439"/>
    <w:rsid w:val="00DF0DA2"/>
    <w:rsid w:val="00DF77D0"/>
    <w:rsid w:val="00E00281"/>
    <w:rsid w:val="00E05325"/>
    <w:rsid w:val="00E161F7"/>
    <w:rsid w:val="00E1734F"/>
    <w:rsid w:val="00E173B6"/>
    <w:rsid w:val="00E17F5C"/>
    <w:rsid w:val="00E26F2A"/>
    <w:rsid w:val="00E323D5"/>
    <w:rsid w:val="00E342FF"/>
    <w:rsid w:val="00E605BD"/>
    <w:rsid w:val="00E64E21"/>
    <w:rsid w:val="00E65659"/>
    <w:rsid w:val="00E675A6"/>
    <w:rsid w:val="00E70C9F"/>
    <w:rsid w:val="00E86171"/>
    <w:rsid w:val="00E93ABE"/>
    <w:rsid w:val="00E93DCE"/>
    <w:rsid w:val="00EA5451"/>
    <w:rsid w:val="00EA7F67"/>
    <w:rsid w:val="00EB0DED"/>
    <w:rsid w:val="00EC5662"/>
    <w:rsid w:val="00EC62F9"/>
    <w:rsid w:val="00EC6625"/>
    <w:rsid w:val="00EC6912"/>
    <w:rsid w:val="00EE2432"/>
    <w:rsid w:val="00EF21ED"/>
    <w:rsid w:val="00F00153"/>
    <w:rsid w:val="00F01C27"/>
    <w:rsid w:val="00F01C39"/>
    <w:rsid w:val="00F10987"/>
    <w:rsid w:val="00F17DA1"/>
    <w:rsid w:val="00F247E2"/>
    <w:rsid w:val="00F465D7"/>
    <w:rsid w:val="00F51186"/>
    <w:rsid w:val="00F5659F"/>
    <w:rsid w:val="00F663E1"/>
    <w:rsid w:val="00F70919"/>
    <w:rsid w:val="00F77706"/>
    <w:rsid w:val="00F835DD"/>
    <w:rsid w:val="00F83FF9"/>
    <w:rsid w:val="00F84F1F"/>
    <w:rsid w:val="00F92C68"/>
    <w:rsid w:val="00FC3F2C"/>
    <w:rsid w:val="00FC78C9"/>
    <w:rsid w:val="00FD12A1"/>
    <w:rsid w:val="00FD3B14"/>
    <w:rsid w:val="00FF0FF2"/>
    <w:rsid w:val="00FF466D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A4410"/>
  <w15:docId w15:val="{9460C307-C6AA-4034-85AE-AB8DC022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95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1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8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8AC"/>
  </w:style>
  <w:style w:type="paragraph" w:styleId="Footer">
    <w:name w:val="footer"/>
    <w:basedOn w:val="Normal"/>
    <w:link w:val="FooterChar"/>
    <w:uiPriority w:val="99"/>
    <w:unhideWhenUsed/>
    <w:rsid w:val="002378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8AC"/>
  </w:style>
  <w:style w:type="paragraph" w:styleId="BalloonText">
    <w:name w:val="Balloon Text"/>
    <w:basedOn w:val="Normal"/>
    <w:link w:val="BalloonTextChar"/>
    <w:uiPriority w:val="99"/>
    <w:semiHidden/>
    <w:unhideWhenUsed/>
    <w:rsid w:val="0023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8A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638E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6B0E"/>
    <w:pPr>
      <w:ind w:left="720"/>
      <w:contextualSpacing/>
    </w:pPr>
  </w:style>
  <w:style w:type="paragraph" w:styleId="Revision">
    <w:name w:val="Revision"/>
    <w:hidden/>
    <w:uiPriority w:val="99"/>
    <w:semiHidden/>
    <w:rsid w:val="00D1480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305B9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E5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9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90E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90E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90B8B-E481-4902-841C-9533D912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laima.jaunsubrena</dc:creator>
  <cp:lastModifiedBy>Antra Meņģele</cp:lastModifiedBy>
  <cp:revision>204</cp:revision>
  <cp:lastPrinted>2015-07-22T12:37:00Z</cp:lastPrinted>
  <dcterms:created xsi:type="dcterms:W3CDTF">2017-02-22T10:32:00Z</dcterms:created>
  <dcterms:modified xsi:type="dcterms:W3CDTF">2026-02-23T11:59:00Z</dcterms:modified>
</cp:coreProperties>
</file>